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32C8" w14:textId="3167802F" w:rsidR="003D376C" w:rsidRPr="005C3E1C" w:rsidRDefault="00434B34" w:rsidP="003D376C">
      <w:pPr>
        <w:jc w:val="both"/>
        <w:rPr>
          <w:b/>
          <w:bCs/>
          <w:color w:val="3A7C22" w:themeColor="accent6" w:themeShade="BF"/>
        </w:rPr>
      </w:pPr>
      <w:r w:rsidRPr="005C3E1C">
        <w:rPr>
          <w:b/>
          <w:bCs/>
          <w:color w:val="3A7C22" w:themeColor="accent6" w:themeShade="BF"/>
        </w:rPr>
        <w:t xml:space="preserve"> </w:t>
      </w:r>
      <w:r w:rsidR="003D376C" w:rsidRPr="005C3E1C">
        <w:rPr>
          <w:b/>
          <w:bCs/>
          <w:color w:val="3A7C22" w:themeColor="accent6" w:themeShade="BF"/>
        </w:rPr>
        <w:t xml:space="preserve">IMPORTANTE: Este modelo </w:t>
      </w:r>
      <w:r w:rsidR="0021139A" w:rsidRPr="005C3E1C">
        <w:rPr>
          <w:b/>
          <w:bCs/>
          <w:color w:val="3A7C22" w:themeColor="accent6" w:themeShade="BF"/>
        </w:rPr>
        <w:t xml:space="preserve">es para </w:t>
      </w:r>
      <w:r w:rsidR="0021139A" w:rsidRPr="005C3E1C">
        <w:rPr>
          <w:b/>
          <w:bCs/>
          <w:color w:val="3A7C22" w:themeColor="accent6" w:themeShade="BF"/>
          <w:u w:val="single"/>
        </w:rPr>
        <w:t xml:space="preserve">entes </w:t>
      </w:r>
      <w:r w:rsidR="005C3E1C" w:rsidRPr="005C3E1C">
        <w:rPr>
          <w:b/>
          <w:bCs/>
          <w:color w:val="3A7C22" w:themeColor="accent6" w:themeShade="BF"/>
          <w:u w:val="single"/>
        </w:rPr>
        <w:t>sin</w:t>
      </w:r>
      <w:r w:rsidR="0021139A" w:rsidRPr="005C3E1C">
        <w:rPr>
          <w:b/>
          <w:bCs/>
          <w:color w:val="3A7C22" w:themeColor="accent6" w:themeShade="BF"/>
          <w:u w:val="single"/>
        </w:rPr>
        <w:t xml:space="preserve"> fines de lucro</w:t>
      </w:r>
      <w:r w:rsidR="0021139A" w:rsidRPr="005C3E1C">
        <w:rPr>
          <w:b/>
          <w:bCs/>
          <w:color w:val="3A7C22" w:themeColor="accent6" w:themeShade="BF"/>
        </w:rPr>
        <w:t xml:space="preserve"> y con carácter de </w:t>
      </w:r>
      <w:r w:rsidR="0021139A" w:rsidRPr="005C3E1C">
        <w:rPr>
          <w:b/>
          <w:bCs/>
          <w:color w:val="3A7C22" w:themeColor="accent6" w:themeShade="BF"/>
          <w:u w:val="single"/>
        </w:rPr>
        <w:t>entidad pequeña</w:t>
      </w:r>
      <w:r w:rsidR="0021139A" w:rsidRPr="005C3E1C">
        <w:rPr>
          <w:b/>
          <w:bCs/>
          <w:color w:val="3A7C22" w:themeColor="accent6" w:themeShade="BF"/>
        </w:rPr>
        <w:t>. S</w:t>
      </w:r>
      <w:r w:rsidR="003D376C" w:rsidRPr="005C3E1C">
        <w:rPr>
          <w:b/>
          <w:bCs/>
          <w:color w:val="3A7C22" w:themeColor="accent6" w:themeShade="BF"/>
        </w:rPr>
        <w:t xml:space="preserve">e incluye un esquema habitual y opciones utilizadas más comunes. El texto es sugerido, adicionar o suprimir según </w:t>
      </w:r>
      <w:r w:rsidR="005A2A8A" w:rsidRPr="005C3E1C">
        <w:rPr>
          <w:b/>
          <w:bCs/>
          <w:color w:val="3A7C22" w:themeColor="accent6" w:themeShade="BF"/>
        </w:rPr>
        <w:t xml:space="preserve">corresponda (El modelo de notas completo se encuentra en el Informe </w:t>
      </w:r>
      <w:proofErr w:type="spellStart"/>
      <w:r w:rsidR="005A2A8A" w:rsidRPr="005C3E1C">
        <w:rPr>
          <w:b/>
          <w:bCs/>
          <w:color w:val="3A7C22" w:themeColor="accent6" w:themeShade="BF"/>
        </w:rPr>
        <w:t>Nº</w:t>
      </w:r>
      <w:proofErr w:type="spellEnd"/>
      <w:r w:rsidR="005A2A8A" w:rsidRPr="005C3E1C">
        <w:rPr>
          <w:b/>
          <w:bCs/>
          <w:color w:val="3A7C22" w:themeColor="accent6" w:themeShade="BF"/>
        </w:rPr>
        <w:t xml:space="preserve"> 27 de </w:t>
      </w:r>
      <w:proofErr w:type="spellStart"/>
      <w:r w:rsidR="005A2A8A" w:rsidRPr="005C3E1C">
        <w:rPr>
          <w:b/>
          <w:bCs/>
          <w:color w:val="3A7C22" w:themeColor="accent6" w:themeShade="BF"/>
        </w:rPr>
        <w:t>CENCyA</w:t>
      </w:r>
      <w:proofErr w:type="spellEnd"/>
      <w:r w:rsidR="005A2A8A" w:rsidRPr="005C3E1C">
        <w:rPr>
          <w:b/>
          <w:bCs/>
          <w:color w:val="3A7C22" w:themeColor="accent6" w:themeShade="BF"/>
        </w:rPr>
        <w:t>)</w:t>
      </w:r>
      <w:r w:rsidRPr="005C3E1C">
        <w:rPr>
          <w:b/>
          <w:bCs/>
          <w:color w:val="3A7C22" w:themeColor="accent6" w:themeShade="BF"/>
        </w:rPr>
        <w:t xml:space="preserve"> – Aplicable a ejercicios iniciados el 01/07/2024</w:t>
      </w:r>
    </w:p>
    <w:p w14:paraId="5703F5F5" w14:textId="77777777" w:rsidR="003D376C" w:rsidRDefault="003D376C" w:rsidP="003D376C">
      <w:pPr>
        <w:jc w:val="both"/>
      </w:pPr>
    </w:p>
    <w:p w14:paraId="26813789" w14:textId="284E1838" w:rsidR="006D1EF8" w:rsidRPr="003D376C" w:rsidRDefault="006D1EF8" w:rsidP="003D376C">
      <w:pPr>
        <w:jc w:val="both"/>
        <w:rPr>
          <w:b/>
          <w:bCs/>
        </w:rPr>
      </w:pPr>
      <w:r w:rsidRPr="003D376C">
        <w:rPr>
          <w:b/>
          <w:bCs/>
        </w:rPr>
        <w:t xml:space="preserve">1. Notas generales </w:t>
      </w:r>
    </w:p>
    <w:p w14:paraId="19B58D65" w14:textId="77777777" w:rsidR="006D1EF8" w:rsidRPr="003D376C" w:rsidRDefault="006D1EF8" w:rsidP="003D376C">
      <w:pPr>
        <w:jc w:val="both"/>
        <w:rPr>
          <w:b/>
          <w:bCs/>
        </w:rPr>
      </w:pPr>
      <w:r w:rsidRPr="003D376C">
        <w:rPr>
          <w:b/>
          <w:bCs/>
        </w:rPr>
        <w:t xml:space="preserve">1.1. Bases de preparación de los estados contables </w:t>
      </w:r>
    </w:p>
    <w:p w14:paraId="5FBF65E8" w14:textId="70D162E4" w:rsidR="006D1EF8" w:rsidRDefault="006D1EF8" w:rsidP="003D376C">
      <w:pPr>
        <w:jc w:val="both"/>
      </w:pPr>
      <w:r w:rsidRPr="006D1EF8">
        <w:t xml:space="preserve">Los presentes estados contables han sido preparados de conformidad con la Resolución Técnica </w:t>
      </w:r>
      <w:proofErr w:type="spellStart"/>
      <w:r w:rsidRPr="006D1EF8">
        <w:t>N°</w:t>
      </w:r>
      <w:proofErr w:type="spellEnd"/>
      <w:r w:rsidRPr="006D1EF8">
        <w:t xml:space="preserve"> 54 (TO RT 5</w:t>
      </w:r>
      <w:r w:rsidR="005C3E1C">
        <w:t>9 y modificatorias</w:t>
      </w:r>
      <w:r w:rsidRPr="006D1EF8">
        <w:t xml:space="preserve">), emitida por la Federación Argentina de Consejos Profesionales de Ciencias Económicas (FACPCE), tal y como fue aprobada por el Consejo Profesional de Ciencias Económicas de </w:t>
      </w:r>
      <w:r>
        <w:t>Río Negro.</w:t>
      </w:r>
    </w:p>
    <w:p w14:paraId="1D1A0D17" w14:textId="77777777" w:rsidR="006D1EF8" w:rsidRPr="003D376C" w:rsidRDefault="006D1EF8" w:rsidP="003D376C">
      <w:pPr>
        <w:jc w:val="both"/>
        <w:rPr>
          <w:b/>
          <w:bCs/>
        </w:rPr>
      </w:pPr>
      <w:r w:rsidRPr="003D376C">
        <w:rPr>
          <w:b/>
          <w:bCs/>
        </w:rPr>
        <w:t xml:space="preserve">1.2. Clasificación de la entidad </w:t>
      </w:r>
    </w:p>
    <w:p w14:paraId="657EA23F" w14:textId="072381E4" w:rsidR="006D1EF8" w:rsidRDefault="006D1EF8" w:rsidP="003D376C">
      <w:pPr>
        <w:jc w:val="both"/>
      </w:pPr>
      <w:r w:rsidRPr="006D1EF8">
        <w:t xml:space="preserve">De acuerdo con lo establecido por la referida norma, la </w:t>
      </w:r>
      <w:r w:rsidR="00472FD2">
        <w:t>enti</w:t>
      </w:r>
      <w:r w:rsidRPr="006D1EF8">
        <w:t>dad reviste el carácter de entidad</w:t>
      </w:r>
      <w:r w:rsidR="00472FD2">
        <w:t xml:space="preserve"> sin fines de lucro. Asimismo, la entidad reviste el carácter de entidad pequeña.</w:t>
      </w:r>
      <w:r w:rsidRPr="006D1EF8">
        <w:t xml:space="preserve"> </w:t>
      </w:r>
    </w:p>
    <w:p w14:paraId="7F154C15" w14:textId="77777777" w:rsidR="006D1EF8" w:rsidRPr="003D376C" w:rsidRDefault="006D1EF8" w:rsidP="003D376C">
      <w:pPr>
        <w:jc w:val="both"/>
        <w:rPr>
          <w:b/>
          <w:bCs/>
        </w:rPr>
      </w:pPr>
      <w:r w:rsidRPr="003D376C">
        <w:rPr>
          <w:b/>
          <w:bCs/>
        </w:rPr>
        <w:t>1.3. Unidad de medida</w:t>
      </w:r>
    </w:p>
    <w:p w14:paraId="08A50DFE" w14:textId="77777777" w:rsidR="006D1EF8" w:rsidRPr="003D376C" w:rsidRDefault="006D1EF8" w:rsidP="003D376C">
      <w:pPr>
        <w:jc w:val="both"/>
        <w:rPr>
          <w:b/>
          <w:bCs/>
        </w:rPr>
      </w:pPr>
      <w:r w:rsidRPr="003D376C">
        <w:rPr>
          <w:b/>
          <w:bCs/>
        </w:rPr>
        <w:t xml:space="preserve">Información general </w:t>
      </w:r>
    </w:p>
    <w:p w14:paraId="19229B10" w14:textId="77777777" w:rsidR="00472FD2" w:rsidRDefault="00472FD2" w:rsidP="003D376C">
      <w:pPr>
        <w:jc w:val="both"/>
      </w:pPr>
      <w:r w:rsidRPr="00472FD2">
        <w:t xml:space="preserve">Los presentes estados contables han sido preparados en moneda homogénea (pesos de …….... de </w:t>
      </w:r>
      <w:proofErr w:type="gramStart"/>
      <w:r w:rsidRPr="00472FD2">
        <w:t>20….</w:t>
      </w:r>
      <w:proofErr w:type="gramEnd"/>
      <w:r w:rsidRPr="00472FD2">
        <w:t xml:space="preserve">), reconociendo en forma integral los efectos de la inflación de conformidad con lo establecido en la RT 54, en virtud de haberse determinado la existencia de un contexto de alta inflación. </w:t>
      </w:r>
    </w:p>
    <w:p w14:paraId="1CEFD905" w14:textId="77777777" w:rsidR="00472FD2" w:rsidRDefault="00472FD2" w:rsidP="003D376C">
      <w:pPr>
        <w:jc w:val="both"/>
      </w:pPr>
      <w:r w:rsidRPr="00472FD2">
        <w:t>Con fines comparativos, se incluyen cifras patrimoniales al …/…/… y de recursos y gastos, de evolución del patrimonio neto y de flujos de efectivo por el ejercicio económico finalizado en esa fecha. Dichas cifras han sido expresadas en moneda de cierre del presente ejercicio, de acuerdo con lo señalado en el párrafo siguiente, a fin de permitir su comparabilidad y sin que el ajuste practicado modifique las decisiones tomadas con base en la información contable correspondiente al ejercicio comparativo.</w:t>
      </w:r>
    </w:p>
    <w:p w14:paraId="482638DC" w14:textId="5FA375EC" w:rsidR="006D1EF8" w:rsidRPr="003D376C" w:rsidRDefault="006D1EF8" w:rsidP="003D376C">
      <w:pPr>
        <w:jc w:val="both"/>
        <w:rPr>
          <w:b/>
          <w:bCs/>
        </w:rPr>
      </w:pPr>
      <w:r w:rsidRPr="003D376C">
        <w:rPr>
          <w:b/>
          <w:bCs/>
        </w:rPr>
        <w:t xml:space="preserve">Descripción del proceso de expresión a moneda de cierre </w:t>
      </w:r>
    </w:p>
    <w:p w14:paraId="6CAAB575" w14:textId="77777777" w:rsidR="006D1EF8" w:rsidRDefault="006D1EF8" w:rsidP="003D376C">
      <w:pPr>
        <w:jc w:val="both"/>
      </w:pPr>
      <w:r w:rsidRPr="006D1EF8">
        <w:t xml:space="preserve">A efectos de expresar las diferentes partidas y rubros que integran los estados contables, la Entidad deberá, entre otras cosas: </w:t>
      </w:r>
    </w:p>
    <w:p w14:paraId="61B0FB28" w14:textId="77777777" w:rsidR="006D1EF8" w:rsidRDefault="006D1EF8" w:rsidP="003D376C">
      <w:pPr>
        <w:jc w:val="both"/>
      </w:pPr>
      <w:r w:rsidRPr="006D1EF8">
        <w:t xml:space="preserve">• Determinar el momento de origen de las partidas (o el momento de su último ajuste, según corresponda). </w:t>
      </w:r>
    </w:p>
    <w:p w14:paraId="5F811698" w14:textId="77777777" w:rsidR="006D1EF8" w:rsidRDefault="006D1EF8" w:rsidP="003D376C">
      <w:pPr>
        <w:jc w:val="both"/>
      </w:pPr>
      <w:r w:rsidRPr="006D1EF8">
        <w:t xml:space="preserve">• Calcular los coeficientes de ajuste aplicables. A tal efecto se utiliza la serie de índices definida por la FACPCE en la Resolución JG </w:t>
      </w:r>
      <w:proofErr w:type="spellStart"/>
      <w:r w:rsidRPr="006D1EF8">
        <w:t>N°</w:t>
      </w:r>
      <w:proofErr w:type="spellEnd"/>
      <w:r w:rsidRPr="006D1EF8">
        <w:t xml:space="preserve"> 539/2018 y sus modificatorias. La variación del índice utilizado para el ajuste de los estados contables ha sido del </w:t>
      </w:r>
      <w:proofErr w:type="spellStart"/>
      <w:proofErr w:type="gramStart"/>
      <w:r w:rsidRPr="006D1EF8">
        <w:t>xx,xx</w:t>
      </w:r>
      <w:proofErr w:type="spellEnd"/>
      <w:proofErr w:type="gramEnd"/>
      <w:r w:rsidRPr="006D1EF8">
        <w:t xml:space="preserve"> % en el ejercicio económico finalizado el …/…/… y del </w:t>
      </w:r>
      <w:proofErr w:type="spellStart"/>
      <w:proofErr w:type="gramStart"/>
      <w:r w:rsidRPr="006D1EF8">
        <w:t>xx,xx</w:t>
      </w:r>
      <w:proofErr w:type="spellEnd"/>
      <w:proofErr w:type="gramEnd"/>
      <w:r w:rsidRPr="006D1EF8">
        <w:t xml:space="preserve"> % el ejercicio comparativo.</w:t>
      </w:r>
    </w:p>
    <w:p w14:paraId="231719F3" w14:textId="77777777" w:rsidR="00472FD2" w:rsidRDefault="006D1EF8" w:rsidP="003D376C">
      <w:pPr>
        <w:jc w:val="both"/>
      </w:pPr>
      <w:r w:rsidRPr="006D1EF8">
        <w:t xml:space="preserve"> • Aplicar los coeficientes de ajuste a los importes de las partidas anticuadas para expresarlas en moneda de cierre. A este respecto, las partidas que deberán ajustarse serán aquellas que no estén expresadas en moneda de cierre. </w:t>
      </w:r>
    </w:p>
    <w:p w14:paraId="05D743F7" w14:textId="77777777" w:rsidR="00472FD2" w:rsidRDefault="00472FD2" w:rsidP="003D376C">
      <w:pPr>
        <w:jc w:val="both"/>
      </w:pPr>
      <w:r w:rsidRPr="00472FD2">
        <w:lastRenderedPageBreak/>
        <w:t>La aplicación del proceso de ajuste por inflación establecido en la RT 54 permite el reconocimiento de las ganancias y pérdidas derivadas del mantenimiento de activos y pasivos expuestos a los cambios en el poder adquisitivo de la moneda a lo largo del ejercicio. Tales ganancias y pérdidas se exponen en el rubro “Otros resultados financieros y por tenencia (incluyendo el resultado por los cambios en el poder adquisitivo de la moneda” del Estado de Recursos y Gastos.</w:t>
      </w:r>
    </w:p>
    <w:p w14:paraId="013C2C8F" w14:textId="33D82384" w:rsidR="00152F44" w:rsidRDefault="006D1EF8" w:rsidP="003D376C">
      <w:pPr>
        <w:jc w:val="both"/>
      </w:pPr>
      <w:r w:rsidRPr="006D1EF8">
        <w:t xml:space="preserve">Para la preparación de los presentes estados contables, el órgano de administración de la entidad ha utilizado las siguientes simplificaciones dispuestas por la Resolución </w:t>
      </w:r>
      <w:proofErr w:type="spellStart"/>
      <w:r w:rsidRPr="006D1EF8">
        <w:t>N°</w:t>
      </w:r>
      <w:proofErr w:type="spellEnd"/>
      <w:r w:rsidRPr="006D1EF8">
        <w:t xml:space="preserve"> 539/2018 (FACPCE), y en la RT 54</w:t>
      </w:r>
      <w:r w:rsidR="00213F5A">
        <w:t xml:space="preserve"> </w:t>
      </w:r>
      <w:r w:rsidR="00213F5A" w:rsidRPr="00213F5A">
        <w:rPr>
          <w:b/>
          <w:bCs/>
          <w:color w:val="EE0000"/>
        </w:rPr>
        <w:t>(ejemplos)</w:t>
      </w:r>
      <w:r w:rsidRPr="006D1EF8">
        <w:t xml:space="preserve">: </w:t>
      </w:r>
    </w:p>
    <w:p w14:paraId="3D5AD058" w14:textId="5E7525A8" w:rsidR="00152F44" w:rsidRDefault="00152F44" w:rsidP="003D376C">
      <w:pPr>
        <w:pStyle w:val="Prrafodelista"/>
        <w:numPr>
          <w:ilvl w:val="0"/>
          <w:numId w:val="1"/>
        </w:numPr>
        <w:jc w:val="both"/>
      </w:pPr>
      <w:r w:rsidRPr="00152F44">
        <w:t xml:space="preserve">Se aplica la opción de presentar el R.E.C.P.A.M. incluido en los resultados financieros y por tenencia, y en una sola línea. La no apertura de los resultados financieros y por tenencia (incluido el R.E.C.P.A.M.) genera la imposibilidad de determinar las magnitudes reales de los diferentes componentes de los resultados financieros y por tenencia, las magnitudes nominales ajustadas por inflación de </w:t>
      </w:r>
      <w:r w:rsidR="00472FD2" w:rsidRPr="00152F44">
        <w:t>estos</w:t>
      </w:r>
      <w:r w:rsidRPr="00152F44">
        <w:t xml:space="preserve"> y el efecto del R.E.C.P.A.M. sobre dichos resultados. Esta limitación impide también la determinación de ciertas ratios financieros, tales como el rendimiento de los activos financieros, el costo de endeudamiento, el efecto “palanca”, etc.</w:t>
      </w:r>
    </w:p>
    <w:p w14:paraId="1BEA4918" w14:textId="0D9B5184" w:rsidR="00152F44" w:rsidRDefault="00152F44" w:rsidP="003D376C">
      <w:pPr>
        <w:pStyle w:val="Prrafodelista"/>
        <w:numPr>
          <w:ilvl w:val="0"/>
          <w:numId w:val="1"/>
        </w:numPr>
        <w:jc w:val="both"/>
      </w:pPr>
      <w:r w:rsidRPr="00152F44">
        <w:t>No se ha efectuado la segregación de los componentes financieros implícitos ni en la medición inicial, ni sobre los saldos de activos y pasivos a la fecha de los estados contables</w:t>
      </w:r>
      <w:r>
        <w:t>, según lo establecido por párrafo 130</w:t>
      </w:r>
      <w:r w:rsidR="00E035F8">
        <w:t xml:space="preserve"> de la RT </w:t>
      </w:r>
      <w:proofErr w:type="spellStart"/>
      <w:r w:rsidR="00E035F8">
        <w:t>Nº</w:t>
      </w:r>
      <w:proofErr w:type="spellEnd"/>
      <w:r w:rsidR="00E035F8">
        <w:t xml:space="preserve"> 54</w:t>
      </w:r>
      <w:r w:rsidR="003D376C">
        <w:t xml:space="preserve"> </w:t>
      </w:r>
      <w:r w:rsidR="003D376C" w:rsidRPr="003D376C">
        <w:rPr>
          <w:color w:val="EE0000"/>
        </w:rPr>
        <w:t>(ver más opciones)</w:t>
      </w:r>
    </w:p>
    <w:p w14:paraId="35FF3100" w14:textId="7C860AD7" w:rsidR="00A42D78" w:rsidRDefault="006D1EF8" w:rsidP="003D376C">
      <w:pPr>
        <w:jc w:val="both"/>
      </w:pPr>
      <w:r w:rsidRPr="006D1EF8">
        <w:t>Los presentes estados contables deben ser leídos e interpretados considerando las limitaciones que la utilización de las dispensas antes mencionadas podría provocar sobre la información en ellos contenida.</w:t>
      </w:r>
    </w:p>
    <w:p w14:paraId="40FC876A" w14:textId="77777777" w:rsidR="00213F5A" w:rsidRDefault="00213F5A" w:rsidP="003D376C">
      <w:pPr>
        <w:jc w:val="both"/>
      </w:pPr>
    </w:p>
    <w:p w14:paraId="4400E785" w14:textId="77777777" w:rsidR="00213F5A" w:rsidRPr="003D376C" w:rsidRDefault="00213F5A" w:rsidP="003D376C">
      <w:pPr>
        <w:jc w:val="both"/>
        <w:rPr>
          <w:b/>
          <w:bCs/>
        </w:rPr>
      </w:pPr>
      <w:r w:rsidRPr="003D376C">
        <w:rPr>
          <w:b/>
          <w:bCs/>
        </w:rPr>
        <w:t>1.4. Uso de estimaciones en la preparación de los presentes estados contables</w:t>
      </w:r>
    </w:p>
    <w:p w14:paraId="6FD5C78C" w14:textId="77777777" w:rsidR="00213F5A" w:rsidRDefault="00213F5A" w:rsidP="003D376C">
      <w:pPr>
        <w:jc w:val="both"/>
      </w:pPr>
      <w:r w:rsidRPr="00213F5A">
        <w:rPr>
          <w:color w:val="EE0000"/>
        </w:rPr>
        <w:t xml:space="preserve"> [Completar (de corresponder): Información a revelar sobre uso de estimaciones en la preparación de los presentes estados contables].</w:t>
      </w:r>
      <w:r w:rsidRPr="00213F5A">
        <w:t xml:space="preserve"> </w:t>
      </w:r>
    </w:p>
    <w:p w14:paraId="1CD54C7E" w14:textId="77777777" w:rsidR="00213F5A" w:rsidRPr="003D376C" w:rsidRDefault="00213F5A" w:rsidP="003D376C">
      <w:pPr>
        <w:jc w:val="both"/>
        <w:rPr>
          <w:b/>
          <w:bCs/>
        </w:rPr>
      </w:pPr>
      <w:r w:rsidRPr="003D376C">
        <w:rPr>
          <w:b/>
          <w:bCs/>
        </w:rPr>
        <w:t xml:space="preserve">1.5. Circunstancias que afectan la comparabilidad </w:t>
      </w:r>
    </w:p>
    <w:p w14:paraId="3BB56580" w14:textId="77777777" w:rsidR="00213F5A" w:rsidRDefault="00213F5A" w:rsidP="003D376C">
      <w:pPr>
        <w:jc w:val="both"/>
      </w:pPr>
      <w:r w:rsidRPr="00213F5A">
        <w:rPr>
          <w:color w:val="EE0000"/>
        </w:rPr>
        <w:t>[Completar (de corresponder): Información a revelar sobre circunstancias que afectan la comparabilidad].</w:t>
      </w:r>
      <w:r w:rsidRPr="00213F5A">
        <w:t xml:space="preserve"> </w:t>
      </w:r>
    </w:p>
    <w:p w14:paraId="5E8854AC" w14:textId="77777777" w:rsidR="00213F5A" w:rsidRPr="003D376C" w:rsidRDefault="00213F5A" w:rsidP="003D376C">
      <w:pPr>
        <w:jc w:val="both"/>
        <w:rPr>
          <w:b/>
          <w:bCs/>
        </w:rPr>
      </w:pPr>
      <w:r w:rsidRPr="003D376C">
        <w:rPr>
          <w:b/>
          <w:bCs/>
        </w:rPr>
        <w:t xml:space="preserve">1.6. Modificación a la información de ejercicios anteriores </w:t>
      </w:r>
    </w:p>
    <w:p w14:paraId="69773B14" w14:textId="3903B6CB" w:rsidR="00213F5A" w:rsidRDefault="00213F5A" w:rsidP="003D376C">
      <w:pPr>
        <w:jc w:val="both"/>
        <w:rPr>
          <w:color w:val="EE0000"/>
        </w:rPr>
      </w:pPr>
      <w:r w:rsidRPr="00213F5A">
        <w:rPr>
          <w:color w:val="EE0000"/>
        </w:rPr>
        <w:t xml:space="preserve">[Completar (de corresponder): Información a revelar sobre causas y cuantificación de efectos por modificación a la información de ejercicios </w:t>
      </w:r>
      <w:proofErr w:type="gramStart"/>
      <w:r w:rsidRPr="00213F5A">
        <w:rPr>
          <w:color w:val="EE0000"/>
        </w:rPr>
        <w:t>anteriores ]</w:t>
      </w:r>
      <w:proofErr w:type="gramEnd"/>
      <w:r w:rsidRPr="00213F5A">
        <w:rPr>
          <w:color w:val="EE0000"/>
        </w:rPr>
        <w:t>.</w:t>
      </w:r>
    </w:p>
    <w:p w14:paraId="67B9CD8F" w14:textId="77777777" w:rsidR="003D376C" w:rsidRPr="003D376C" w:rsidRDefault="00213F5A" w:rsidP="003D376C">
      <w:pPr>
        <w:jc w:val="both"/>
        <w:rPr>
          <w:b/>
          <w:bCs/>
          <w:color w:val="EE0000"/>
        </w:rPr>
      </w:pPr>
      <w:r w:rsidRPr="003D376C">
        <w:rPr>
          <w:b/>
          <w:bCs/>
        </w:rPr>
        <w:t>1.7. Empresa en marcha</w:t>
      </w:r>
      <w:r w:rsidRPr="003D376C">
        <w:rPr>
          <w:b/>
          <w:bCs/>
          <w:color w:val="EE0000"/>
        </w:rPr>
        <w:t xml:space="preserve"> </w:t>
      </w:r>
    </w:p>
    <w:p w14:paraId="429E2B68" w14:textId="309BE555" w:rsidR="00213F5A" w:rsidRDefault="00213F5A" w:rsidP="003D376C">
      <w:pPr>
        <w:jc w:val="both"/>
        <w:rPr>
          <w:color w:val="EE0000"/>
        </w:rPr>
      </w:pPr>
      <w:r w:rsidRPr="00213F5A">
        <w:rPr>
          <w:color w:val="EE0000"/>
        </w:rPr>
        <w:t>[Completar (de corresponder): Información sobre la existencia de incertidumbres significativas relativas a eventos o condiciones que aporten dudas importantes sobre la posibilidad de que la entidad siga funcionando normalmente en el futuro previsible].</w:t>
      </w:r>
    </w:p>
    <w:p w14:paraId="5E1398D9" w14:textId="77777777" w:rsidR="00472FD2" w:rsidRDefault="00472FD2" w:rsidP="003D376C">
      <w:pPr>
        <w:jc w:val="both"/>
        <w:rPr>
          <w:b/>
          <w:bCs/>
        </w:rPr>
      </w:pPr>
    </w:p>
    <w:p w14:paraId="72EDF921" w14:textId="77777777" w:rsidR="00472FD2" w:rsidRDefault="00472FD2" w:rsidP="003D376C">
      <w:pPr>
        <w:jc w:val="both"/>
        <w:rPr>
          <w:b/>
          <w:bCs/>
        </w:rPr>
      </w:pPr>
    </w:p>
    <w:p w14:paraId="4C165872" w14:textId="77777777" w:rsidR="00472FD2" w:rsidRDefault="00472FD2" w:rsidP="003D376C">
      <w:pPr>
        <w:jc w:val="both"/>
        <w:rPr>
          <w:b/>
          <w:bCs/>
        </w:rPr>
      </w:pPr>
    </w:p>
    <w:p w14:paraId="5353581B" w14:textId="2E7B5270" w:rsidR="003D376C" w:rsidRPr="003D376C" w:rsidRDefault="003D376C" w:rsidP="003D376C">
      <w:pPr>
        <w:jc w:val="both"/>
        <w:rPr>
          <w:b/>
          <w:bCs/>
          <w:color w:val="EE0000"/>
        </w:rPr>
      </w:pPr>
      <w:r w:rsidRPr="003D376C">
        <w:rPr>
          <w:b/>
          <w:bCs/>
        </w:rPr>
        <w:lastRenderedPageBreak/>
        <w:t>2. C</w:t>
      </w:r>
      <w:r>
        <w:rPr>
          <w:b/>
          <w:bCs/>
        </w:rPr>
        <w:t>omposición de rubros y c</w:t>
      </w:r>
      <w:r w:rsidRPr="003D376C">
        <w:rPr>
          <w:b/>
          <w:bCs/>
        </w:rPr>
        <w:t xml:space="preserve">riterios de medición contable </w:t>
      </w:r>
    </w:p>
    <w:p w14:paraId="265D02B3" w14:textId="2F004523" w:rsidR="003D376C" w:rsidRDefault="003D376C" w:rsidP="003D376C">
      <w:pPr>
        <w:jc w:val="both"/>
        <w:rPr>
          <w:color w:val="EE0000"/>
        </w:rPr>
      </w:pPr>
      <w:r>
        <w:rPr>
          <w:color w:val="EE0000"/>
        </w:rPr>
        <w:t>Aclarar criterio de valuación de los rubros expuestos en los estados contables en la composición de cada rubro e información relevante que corresponda informar</w:t>
      </w:r>
      <w:r w:rsidR="0064646E">
        <w:rPr>
          <w:color w:val="EE0000"/>
        </w:rPr>
        <w:t>.</w:t>
      </w:r>
    </w:p>
    <w:sectPr w:rsidR="003D37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F4993"/>
    <w:multiLevelType w:val="hybridMultilevel"/>
    <w:tmpl w:val="51F6C682"/>
    <w:lvl w:ilvl="0" w:tplc="091E260E">
      <w:start w:val="1"/>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5C53247"/>
    <w:multiLevelType w:val="hybridMultilevel"/>
    <w:tmpl w:val="E000E26E"/>
    <w:lvl w:ilvl="0" w:tplc="0DC82B50">
      <w:start w:val="1"/>
      <w:numFmt w:val="bullet"/>
      <w:lvlText w:val="-"/>
      <w:lvlJc w:val="left"/>
      <w:pPr>
        <w:ind w:left="1080" w:hanging="360"/>
      </w:pPr>
      <w:rPr>
        <w:rFonts w:ascii="Aptos" w:eastAsiaTheme="minorHAnsi" w:hAnsi="Aptos"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16cid:durableId="1024282402">
    <w:abstractNumId w:val="0"/>
  </w:num>
  <w:num w:numId="2" w16cid:durableId="1357199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F8"/>
    <w:rsid w:val="00060A8D"/>
    <w:rsid w:val="00112E27"/>
    <w:rsid w:val="00152F44"/>
    <w:rsid w:val="0021139A"/>
    <w:rsid w:val="00213F5A"/>
    <w:rsid w:val="002972E6"/>
    <w:rsid w:val="003D376C"/>
    <w:rsid w:val="00434B34"/>
    <w:rsid w:val="00472FD2"/>
    <w:rsid w:val="005A2A8A"/>
    <w:rsid w:val="005C3E1C"/>
    <w:rsid w:val="0064646E"/>
    <w:rsid w:val="006D1EF8"/>
    <w:rsid w:val="00791D2B"/>
    <w:rsid w:val="009906FA"/>
    <w:rsid w:val="009B4992"/>
    <w:rsid w:val="009E28A5"/>
    <w:rsid w:val="00A42D78"/>
    <w:rsid w:val="00AA275D"/>
    <w:rsid w:val="00AD755E"/>
    <w:rsid w:val="00B1653E"/>
    <w:rsid w:val="00E035F8"/>
    <w:rsid w:val="00EF4732"/>
    <w:rsid w:val="00F475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2CD7"/>
  <w15:chartTrackingRefBased/>
  <w15:docId w15:val="{D942534F-8ADB-4DA2-9D5D-69C165DF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1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1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1E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1E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1E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1E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1E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1E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1E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1E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1E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1E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1E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1E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1E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1E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1E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1EF8"/>
    <w:rPr>
      <w:rFonts w:eastAsiaTheme="majorEastAsia" w:cstheme="majorBidi"/>
      <w:color w:val="272727" w:themeColor="text1" w:themeTint="D8"/>
    </w:rPr>
  </w:style>
  <w:style w:type="paragraph" w:styleId="Ttulo">
    <w:name w:val="Title"/>
    <w:basedOn w:val="Normal"/>
    <w:next w:val="Normal"/>
    <w:link w:val="TtuloCar"/>
    <w:uiPriority w:val="10"/>
    <w:qFormat/>
    <w:rsid w:val="006D1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1E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1E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1E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1EF8"/>
    <w:pPr>
      <w:spacing w:before="160"/>
      <w:jc w:val="center"/>
    </w:pPr>
    <w:rPr>
      <w:i/>
      <w:iCs/>
      <w:color w:val="404040" w:themeColor="text1" w:themeTint="BF"/>
    </w:rPr>
  </w:style>
  <w:style w:type="character" w:customStyle="1" w:styleId="CitaCar">
    <w:name w:val="Cita Car"/>
    <w:basedOn w:val="Fuentedeprrafopredeter"/>
    <w:link w:val="Cita"/>
    <w:uiPriority w:val="29"/>
    <w:rsid w:val="006D1EF8"/>
    <w:rPr>
      <w:i/>
      <w:iCs/>
      <w:color w:val="404040" w:themeColor="text1" w:themeTint="BF"/>
    </w:rPr>
  </w:style>
  <w:style w:type="paragraph" w:styleId="Prrafodelista">
    <w:name w:val="List Paragraph"/>
    <w:basedOn w:val="Normal"/>
    <w:uiPriority w:val="34"/>
    <w:qFormat/>
    <w:rsid w:val="006D1EF8"/>
    <w:pPr>
      <w:ind w:left="720"/>
      <w:contextualSpacing/>
    </w:pPr>
  </w:style>
  <w:style w:type="character" w:styleId="nfasisintenso">
    <w:name w:val="Intense Emphasis"/>
    <w:basedOn w:val="Fuentedeprrafopredeter"/>
    <w:uiPriority w:val="21"/>
    <w:qFormat/>
    <w:rsid w:val="006D1EF8"/>
    <w:rPr>
      <w:i/>
      <w:iCs/>
      <w:color w:val="0F4761" w:themeColor="accent1" w:themeShade="BF"/>
    </w:rPr>
  </w:style>
  <w:style w:type="paragraph" w:styleId="Citadestacada">
    <w:name w:val="Intense Quote"/>
    <w:basedOn w:val="Normal"/>
    <w:next w:val="Normal"/>
    <w:link w:val="CitadestacadaCar"/>
    <w:uiPriority w:val="30"/>
    <w:qFormat/>
    <w:rsid w:val="006D1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1EF8"/>
    <w:rPr>
      <w:i/>
      <w:iCs/>
      <w:color w:val="0F4761" w:themeColor="accent1" w:themeShade="BF"/>
    </w:rPr>
  </w:style>
  <w:style w:type="character" w:styleId="Referenciaintensa">
    <w:name w:val="Intense Reference"/>
    <w:basedOn w:val="Fuentedeprrafopredeter"/>
    <w:uiPriority w:val="32"/>
    <w:qFormat/>
    <w:rsid w:val="006D1E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851</Words>
  <Characters>4681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dc:creator>
  <cp:keywords/>
  <dc:description/>
  <cp:lastModifiedBy>Natalia González</cp:lastModifiedBy>
  <cp:revision>3</cp:revision>
  <dcterms:created xsi:type="dcterms:W3CDTF">2026-02-26T10:21:00Z</dcterms:created>
  <dcterms:modified xsi:type="dcterms:W3CDTF">2026-02-26T10:42:00Z</dcterms:modified>
</cp:coreProperties>
</file>